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9F" w:rsidRPr="005D1C9F" w:rsidRDefault="005D1C9F" w:rsidP="005D1C9F">
      <w:pPr>
        <w:pStyle w:val="Normaalweb"/>
        <w:jc w:val="center"/>
        <w:rPr>
          <w:rFonts w:asciiTheme="minorHAnsi" w:hAnsiTheme="minorHAnsi" w:cstheme="minorHAnsi"/>
          <w:b/>
          <w:bCs/>
          <w:sz w:val="32"/>
          <w:szCs w:val="22"/>
        </w:rPr>
      </w:pPr>
      <w:r>
        <w:rPr>
          <w:rFonts w:asciiTheme="minorHAnsi" w:hAnsiTheme="minorHAnsi" w:cstheme="minorHAnsi"/>
          <w:b/>
          <w:bCs/>
          <w:noProof/>
          <w:sz w:val="32"/>
          <w:szCs w:val="22"/>
        </w:rPr>
        <w:drawing>
          <wp:anchor distT="0" distB="0" distL="114300" distR="114300" simplePos="0" relativeHeight="251664384" behindDoc="0" locked="0" layoutInCell="1" allowOverlap="1">
            <wp:simplePos x="0" y="0"/>
            <wp:positionH relativeFrom="column">
              <wp:posOffset>5615470</wp:posOffset>
            </wp:positionH>
            <wp:positionV relativeFrom="paragraph">
              <wp:posOffset>-581742</wp:posOffset>
            </wp:positionV>
            <wp:extent cx="784032" cy="492981"/>
            <wp:effectExtent l="19050" t="0" r="0" b="0"/>
            <wp:wrapNone/>
            <wp:docPr id="15" name="Afbeelding 9" descr="The Green Guide logo 2021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Green Guide logo 2021 banner.png"/>
                    <pic:cNvPicPr/>
                  </pic:nvPicPr>
                  <pic:blipFill>
                    <a:blip r:embed="rId6" cstate="print"/>
                    <a:stretch>
                      <a:fillRect/>
                    </a:stretch>
                  </pic:blipFill>
                  <pic:spPr>
                    <a:xfrm>
                      <a:off x="0" y="0"/>
                      <a:ext cx="784032" cy="492981"/>
                    </a:xfrm>
                    <a:prstGeom prst="rect">
                      <a:avLst/>
                    </a:prstGeom>
                  </pic:spPr>
                </pic:pic>
              </a:graphicData>
            </a:graphic>
          </wp:anchor>
        </w:drawing>
      </w:r>
      <w:r w:rsidR="00156163" w:rsidRPr="005D1C9F">
        <w:rPr>
          <w:rFonts w:asciiTheme="minorHAnsi" w:hAnsiTheme="minorHAnsi" w:cstheme="minorHAnsi"/>
          <w:b/>
          <w:bCs/>
          <w:sz w:val="32"/>
          <w:szCs w:val="22"/>
        </w:rPr>
        <w:t>1. Algemene voorwaarden - The Green Guide</w:t>
      </w:r>
    </w:p>
    <w:p w:rsidR="00660355" w:rsidRDefault="00660355" w:rsidP="00660355">
      <w:pPr>
        <w:pStyle w:val="Geenafstand"/>
        <w:rPr>
          <w:sz w:val="20"/>
          <w:szCs w:val="20"/>
        </w:rPr>
      </w:pPr>
      <w:r w:rsidRPr="00660355">
        <w:rPr>
          <w:rStyle w:val="Zwaar"/>
          <w:sz w:val="20"/>
          <w:szCs w:val="20"/>
        </w:rPr>
        <w:t>Artikel 1. Algemeen</w:t>
      </w:r>
      <w:r w:rsidRPr="00660355">
        <w:rPr>
          <w:sz w:val="20"/>
          <w:szCs w:val="20"/>
        </w:rPr>
        <w:br/>
        <w:t>Deze voorwaarden zijn van toepassing op elk aanbod van The Green Guide en alle overeenkomsten die tussen The Green Guide en klant worden aangegaan. Gezien de verscheidenheid aan diensten van The Green Guide valt onder klant zowel een particuliere klant (healing &amp; coaching diensten) als een zakelijke klant (samenwerkingen).</w:t>
      </w:r>
    </w:p>
    <w:p w:rsidR="00660355" w:rsidRPr="00660355" w:rsidRDefault="00660355" w:rsidP="00660355">
      <w:pPr>
        <w:pStyle w:val="Geenafstand"/>
        <w:rPr>
          <w:sz w:val="20"/>
          <w:szCs w:val="20"/>
        </w:rPr>
      </w:pPr>
    </w:p>
    <w:p w:rsidR="00660355" w:rsidRDefault="00660355" w:rsidP="00660355">
      <w:pPr>
        <w:pStyle w:val="Geenafstand"/>
        <w:rPr>
          <w:sz w:val="20"/>
          <w:szCs w:val="20"/>
        </w:rPr>
      </w:pPr>
      <w:r w:rsidRPr="00660355">
        <w:rPr>
          <w:rStyle w:val="Zwaar"/>
          <w:sz w:val="20"/>
          <w:szCs w:val="20"/>
        </w:rPr>
        <w:t>Artikel 2. Gegevens</w:t>
      </w:r>
      <w:r w:rsidRPr="00660355">
        <w:rPr>
          <w:sz w:val="20"/>
          <w:szCs w:val="20"/>
        </w:rPr>
        <w:br/>
        <w:t>Bedrijfsnaam: The Green Guide </w:t>
      </w:r>
      <w:r w:rsidRPr="00660355">
        <w:rPr>
          <w:sz w:val="20"/>
          <w:szCs w:val="20"/>
        </w:rPr>
        <w:br/>
        <w:t>Adres: Eindhoven (privé, op aanvraag verkrijgbaar) </w:t>
      </w:r>
      <w:r w:rsidRPr="00660355">
        <w:rPr>
          <w:sz w:val="20"/>
          <w:szCs w:val="20"/>
        </w:rPr>
        <w:br/>
        <w:t>Website: www.thegreenguide.nl</w:t>
      </w:r>
      <w:r w:rsidRPr="00660355">
        <w:rPr>
          <w:sz w:val="20"/>
          <w:szCs w:val="20"/>
        </w:rPr>
        <w:br/>
        <w:t>E-mailadres: info@thegreenguide.nl </w:t>
      </w:r>
      <w:r w:rsidRPr="00660355">
        <w:rPr>
          <w:sz w:val="20"/>
          <w:szCs w:val="20"/>
        </w:rPr>
        <w:br/>
        <w:t>KvK nummer: 64621006</w:t>
      </w:r>
      <w:r w:rsidRPr="00660355">
        <w:rPr>
          <w:sz w:val="20"/>
          <w:szCs w:val="20"/>
        </w:rPr>
        <w:br/>
        <w:t>BTW id: NL002331402B10</w:t>
      </w:r>
    </w:p>
    <w:p w:rsidR="00660355" w:rsidRPr="00660355" w:rsidRDefault="00660355" w:rsidP="00660355">
      <w:pPr>
        <w:pStyle w:val="Geenafstand"/>
        <w:rPr>
          <w:sz w:val="20"/>
          <w:szCs w:val="20"/>
        </w:rPr>
      </w:pPr>
    </w:p>
    <w:p w:rsidR="00660355" w:rsidRDefault="00660355" w:rsidP="00660355">
      <w:pPr>
        <w:pStyle w:val="Geenafstand"/>
        <w:rPr>
          <w:sz w:val="20"/>
          <w:szCs w:val="20"/>
        </w:rPr>
      </w:pPr>
      <w:r w:rsidRPr="00660355">
        <w:rPr>
          <w:rStyle w:val="Zwaar"/>
          <w:sz w:val="20"/>
          <w:szCs w:val="20"/>
        </w:rPr>
        <w:t>Artikel 3. NIET medische diensten, contra indicaties &amp; cursussen </w:t>
      </w:r>
      <w:r w:rsidRPr="00660355">
        <w:rPr>
          <w:sz w:val="20"/>
          <w:szCs w:val="20"/>
        </w:rPr>
        <w:br/>
        <w:t xml:space="preserve">3.1. </w:t>
      </w:r>
      <w:r w:rsidRPr="00660355">
        <w:rPr>
          <w:sz w:val="20"/>
          <w:szCs w:val="20"/>
          <w:u w:val="single"/>
        </w:rPr>
        <w:t>Niet medisch</w:t>
      </w:r>
      <w:r w:rsidRPr="00660355">
        <w:rPr>
          <w:sz w:val="20"/>
          <w:szCs w:val="20"/>
        </w:rPr>
        <w:t>: indien je fysieke/mentale klachten hebt, ga dan altijd naar de huisarts. Ik stel geen diagnoses, raad nooit reguliere behandelingen af en adviseer niet over medicatie. Sessies van The Green Guide zijn puur ter ondersteuning/aanvulling, géén vervanging van reguliere zorg. Breng mij vooraf op de hoogte van eventuele klachten, zodat ik sessies kan afraden als dat niet verstandig is (bijvoorbeeld ivm contra indicaties). Je kunt ook bij je huisarts navragen of alternatieve aanvulling oké is.</w:t>
      </w:r>
      <w:r w:rsidRPr="00660355">
        <w:rPr>
          <w:sz w:val="20"/>
          <w:szCs w:val="20"/>
        </w:rPr>
        <w:br/>
        <w:t xml:space="preserve">3.2 </w:t>
      </w:r>
      <w:r w:rsidRPr="00660355">
        <w:rPr>
          <w:sz w:val="20"/>
          <w:szCs w:val="20"/>
          <w:u w:val="single"/>
        </w:rPr>
        <w:t>Contra-indicaties Reiki</w:t>
      </w:r>
      <w:r w:rsidRPr="00660355">
        <w:rPr>
          <w:sz w:val="20"/>
          <w:szCs w:val="20"/>
        </w:rPr>
        <w:t>: ik behandel niet met Reiki wanneer er sprake is van: koorts, botbreuk, hartklachten (pacemaker) of (orgaan)transplantatie. Boek in dit geval geen Reiki sessie. Behandeling tijdens zwangerschap kan, meld dit wel even. Vraag bij andere klachten of medicatiegebruik advies aan je dokter voor je boekt.</w:t>
      </w:r>
      <w:r w:rsidRPr="00660355">
        <w:rPr>
          <w:sz w:val="20"/>
          <w:szCs w:val="20"/>
        </w:rPr>
        <w:br/>
        <w:t xml:space="preserve">3.3 </w:t>
      </w:r>
      <w:r w:rsidRPr="00660355">
        <w:rPr>
          <w:sz w:val="20"/>
          <w:szCs w:val="20"/>
          <w:u w:val="single"/>
        </w:rPr>
        <w:t>Contra-indicaties TTC:</w:t>
      </w:r>
      <w:r w:rsidRPr="00660355">
        <w:rPr>
          <w:sz w:val="20"/>
          <w:szCs w:val="20"/>
        </w:rPr>
        <w:t xml:space="preserve"> ik behandel niet met TTC bij zwangerschap, hersenbeschadiging, deep brain stimulation/pacemaker. Vraag bij meditatie advies aan je dokter. </w:t>
      </w:r>
      <w:r w:rsidRPr="00660355">
        <w:rPr>
          <w:sz w:val="20"/>
          <w:szCs w:val="20"/>
          <w:u w:val="single"/>
        </w:rPr>
        <w:br/>
      </w:r>
      <w:r w:rsidRPr="00660355">
        <w:rPr>
          <w:sz w:val="20"/>
          <w:szCs w:val="20"/>
        </w:rPr>
        <w:t xml:space="preserve">3.4 </w:t>
      </w:r>
      <w:r w:rsidRPr="00660355">
        <w:rPr>
          <w:sz w:val="20"/>
          <w:szCs w:val="20"/>
          <w:u w:val="single"/>
        </w:rPr>
        <w:t>Contra-indicaties Kundalini</w:t>
      </w:r>
      <w:r w:rsidRPr="00660355">
        <w:rPr>
          <w:sz w:val="20"/>
          <w:szCs w:val="20"/>
        </w:rPr>
        <w:t>: ik behandel niet met Kundalini wanneer er sprake is van: afwijkend bloed/trombose, glaucoom/verhoogde oogboldruk, hartziekte/falen, herseninfarct/bloeding, longfalen, diabetes, epilepsie, dementie, schizofrenie/psychose, depressie, zwangerschap &amp; borstvoeding. Dit is voor je eigen gezondheid en veiligheid, neem hier daarom verantwoordelijkheid voor, boek in dat geval geen sessie en houd geen informatie achter. Vraag bij medicatiegebruik advies aan je dokter.</w:t>
      </w:r>
      <w:r w:rsidRPr="00660355">
        <w:rPr>
          <w:sz w:val="20"/>
          <w:szCs w:val="20"/>
        </w:rPr>
        <w:br/>
        <w:t xml:space="preserve">3.5 </w:t>
      </w:r>
      <w:r w:rsidRPr="00660355">
        <w:rPr>
          <w:sz w:val="20"/>
          <w:szCs w:val="20"/>
          <w:u w:val="single"/>
        </w:rPr>
        <w:t>Cursussen</w:t>
      </w:r>
      <w:r w:rsidRPr="00660355">
        <w:rPr>
          <w:sz w:val="20"/>
          <w:szCs w:val="20"/>
        </w:rPr>
        <w:t>: de 3 Reiki cursussen die je bij The Green Guide kunt volgen (level 1/2/3) geef ik naar mijn beste vermogen en met respect voor het Usui systeem. Je wordt hierbij voorzien van het lesmateriaal, krijgt een certificaat van deelname en kunt nadien mailen bij vragen (in moderatie, het is niet voor intervisie van elke sessie).   </w:t>
      </w:r>
    </w:p>
    <w:p w:rsidR="00660355" w:rsidRPr="00660355" w:rsidRDefault="00660355" w:rsidP="00660355">
      <w:pPr>
        <w:pStyle w:val="Geenafstand"/>
        <w:rPr>
          <w:sz w:val="20"/>
          <w:szCs w:val="20"/>
        </w:rPr>
      </w:pPr>
    </w:p>
    <w:p w:rsidR="00660355" w:rsidRDefault="00660355" w:rsidP="00660355">
      <w:pPr>
        <w:pStyle w:val="Geenafstand"/>
        <w:rPr>
          <w:sz w:val="20"/>
          <w:szCs w:val="20"/>
        </w:rPr>
      </w:pPr>
      <w:r w:rsidRPr="00660355">
        <w:rPr>
          <w:rStyle w:val="Zwaar"/>
          <w:sz w:val="20"/>
          <w:szCs w:val="20"/>
        </w:rPr>
        <w:t>Artikel 4. Meerderjarigheid, vrije wil &amp; gratis kennismaking</w:t>
      </w:r>
      <w:r w:rsidRPr="00660355">
        <w:rPr>
          <w:sz w:val="20"/>
          <w:szCs w:val="20"/>
        </w:rPr>
        <w:br/>
        <w:t xml:space="preserve">4.1 </w:t>
      </w:r>
      <w:r w:rsidRPr="00660355">
        <w:rPr>
          <w:sz w:val="20"/>
          <w:szCs w:val="20"/>
          <w:u w:val="single"/>
        </w:rPr>
        <w:t>Meerderjarigheid</w:t>
      </w:r>
      <w:r w:rsidRPr="00660355">
        <w:rPr>
          <w:sz w:val="20"/>
          <w:szCs w:val="20"/>
        </w:rPr>
        <w:t>: voor zowel healing (Reiki, TTC &amp; Kundalini) als coaching en de cursussen geldt een minimale leeftijd van 18 jaar - onder die leeftijd kan enkel geboekt worden met toestemming van ouders of voogd. Je dient je leeftijd daarom bij aanvraag naar waarheid in te vullen.</w:t>
      </w:r>
      <w:r w:rsidRPr="00660355">
        <w:rPr>
          <w:sz w:val="20"/>
          <w:szCs w:val="20"/>
        </w:rPr>
        <w:br/>
        <w:t xml:space="preserve">4.2 </w:t>
      </w:r>
      <w:r w:rsidRPr="00660355">
        <w:rPr>
          <w:sz w:val="20"/>
          <w:szCs w:val="20"/>
          <w:u w:val="single"/>
        </w:rPr>
        <w:t>Vrije wil</w:t>
      </w:r>
      <w:r w:rsidRPr="00660355">
        <w:rPr>
          <w:sz w:val="20"/>
          <w:szCs w:val="20"/>
        </w:rPr>
        <w:t>: ik geef géén healing sessies wanneer iemand daar niet van op de hoogte is, toestemming is altijd een eis (cadeaubon aanvragen kan wel, zie artikel 4.3)</w:t>
      </w:r>
      <w:r w:rsidRPr="00660355">
        <w:rPr>
          <w:sz w:val="20"/>
          <w:szCs w:val="20"/>
        </w:rPr>
        <w:br/>
        <w:t xml:space="preserve">4.3 </w:t>
      </w:r>
      <w:r w:rsidRPr="00660355">
        <w:rPr>
          <w:sz w:val="20"/>
          <w:szCs w:val="20"/>
          <w:u w:val="single"/>
        </w:rPr>
        <w:t>Gratis kennismaking</w:t>
      </w:r>
      <w:r w:rsidRPr="00660355">
        <w:rPr>
          <w:sz w:val="20"/>
          <w:szCs w:val="20"/>
        </w:rPr>
        <w:t>: het Guidance Traject is een commitment, daarom bied ik altijd een gratis online intake vooraf, waarbij we kijken of ik je kan helpen en of er een match is. Hier kunnen geen rechten aan worden ontleend door de klant. Als je voor het traject wilt gaan, stuur ik je na de intake per mail de details van het coachtraject (als overeenkomst) - die ook op de coaching pagina vermeld staan toe - en verklaar ik deze algemene voorwaarden als van toepassing.</w:t>
      </w:r>
    </w:p>
    <w:p w:rsidR="00660355" w:rsidRPr="00660355" w:rsidRDefault="00660355" w:rsidP="00660355">
      <w:pPr>
        <w:pStyle w:val="Geenafstand"/>
        <w:rPr>
          <w:sz w:val="20"/>
          <w:szCs w:val="20"/>
        </w:rPr>
      </w:pPr>
    </w:p>
    <w:p w:rsidR="00660355" w:rsidRDefault="00660355" w:rsidP="00660355">
      <w:pPr>
        <w:pStyle w:val="Geenafstand"/>
        <w:rPr>
          <w:sz w:val="20"/>
          <w:szCs w:val="20"/>
        </w:rPr>
      </w:pPr>
      <w:r w:rsidRPr="00660355">
        <w:rPr>
          <w:rStyle w:val="Zwaar"/>
          <w:sz w:val="20"/>
          <w:szCs w:val="20"/>
        </w:rPr>
        <w:t>Artikel 5. Prijzen, vergoeding &amp; cadeaubon</w:t>
      </w:r>
      <w:r w:rsidRPr="00660355">
        <w:rPr>
          <w:sz w:val="20"/>
          <w:szCs w:val="20"/>
        </w:rPr>
        <w:br/>
        <w:t xml:space="preserve">5.1 </w:t>
      </w:r>
      <w:r w:rsidRPr="00660355">
        <w:rPr>
          <w:sz w:val="20"/>
          <w:szCs w:val="20"/>
          <w:u w:val="single"/>
        </w:rPr>
        <w:t>Prijzen</w:t>
      </w:r>
      <w:r w:rsidRPr="00660355">
        <w:rPr>
          <w:sz w:val="20"/>
          <w:szCs w:val="20"/>
        </w:rPr>
        <w:t>: voor alle sessies/pakketten/trajecten/cursussen worden de prijzen vermeld op de pagina van de dienst en de boekingspagina. Deze prijzen kunnen met de tijd (o.a. in verband met inflatie) worden aangepast, uiteraard geldt dit niet als je al geboekt hebt. Wanneer je een volgende dienst zou boeken, gaat die nieuwe prijs in.</w:t>
      </w:r>
      <w:r w:rsidRPr="00660355">
        <w:rPr>
          <w:sz w:val="20"/>
          <w:szCs w:val="20"/>
        </w:rPr>
        <w:br/>
        <w:t xml:space="preserve">5.2 </w:t>
      </w:r>
      <w:r w:rsidRPr="00660355">
        <w:rPr>
          <w:sz w:val="20"/>
          <w:szCs w:val="20"/>
          <w:u w:val="single"/>
        </w:rPr>
        <w:t>Vergoeding</w:t>
      </w:r>
      <w:r w:rsidRPr="00660355">
        <w:rPr>
          <w:sz w:val="20"/>
          <w:szCs w:val="20"/>
        </w:rPr>
        <w:t>: The Green Guide is niet aangesloten bij zorgverzekeraars, daarom is vergoeding voor sessies helaas niet mogelijk (ook niet in aanvullend pakket).</w:t>
      </w:r>
      <w:r w:rsidRPr="00660355">
        <w:rPr>
          <w:sz w:val="20"/>
          <w:szCs w:val="20"/>
        </w:rPr>
        <w:br/>
      </w:r>
      <w:r w:rsidRPr="00660355">
        <w:rPr>
          <w:sz w:val="20"/>
          <w:szCs w:val="20"/>
        </w:rPr>
        <w:lastRenderedPageBreak/>
        <w:t xml:space="preserve">5.3 </w:t>
      </w:r>
      <w:r w:rsidRPr="00660355">
        <w:rPr>
          <w:sz w:val="20"/>
          <w:szCs w:val="20"/>
          <w:u w:val="single"/>
        </w:rPr>
        <w:t>Cadeaubon</w:t>
      </w:r>
      <w:r w:rsidRPr="00660355">
        <w:rPr>
          <w:sz w:val="20"/>
          <w:szCs w:val="20"/>
        </w:rPr>
        <w:t>: je kunt voor elk gewenst bedrag een cadeaubon aanvragen. Na betaling stuur ik een online bestand op naam van de ontvanger naar je toe. Wil de ontvanger zelf tóch geen sessie boeken van deze cadeaubon, dan kan ik helaas geen geld terug geven. De bon kan wel ingezet worden voor een andere soort sessie. Ook aan de besteller kan geen geld worden terug gegeven als deze ervan af wil zien, in dat geval kan de besteller de bon wel zelf inzetten voor een sessie.</w:t>
      </w:r>
    </w:p>
    <w:p w:rsidR="00660355" w:rsidRPr="00660355" w:rsidRDefault="00660355" w:rsidP="00660355">
      <w:pPr>
        <w:pStyle w:val="Geenafstand"/>
        <w:rPr>
          <w:sz w:val="20"/>
          <w:szCs w:val="20"/>
        </w:rPr>
      </w:pPr>
    </w:p>
    <w:p w:rsidR="00660355" w:rsidRDefault="00660355" w:rsidP="00660355">
      <w:pPr>
        <w:pStyle w:val="Geenafstand"/>
        <w:rPr>
          <w:sz w:val="20"/>
          <w:szCs w:val="20"/>
        </w:rPr>
      </w:pPr>
      <w:r w:rsidRPr="00660355">
        <w:rPr>
          <w:rStyle w:val="Zwaar"/>
          <w:sz w:val="20"/>
          <w:szCs w:val="20"/>
        </w:rPr>
        <w:t>Artikel 6. Betaling &amp; terugbetaling</w:t>
      </w:r>
      <w:r w:rsidRPr="00660355">
        <w:rPr>
          <w:sz w:val="20"/>
          <w:szCs w:val="20"/>
        </w:rPr>
        <w:br/>
        <w:t xml:space="preserve">6.1 </w:t>
      </w:r>
      <w:r w:rsidRPr="00660355">
        <w:rPr>
          <w:sz w:val="20"/>
          <w:szCs w:val="20"/>
          <w:u w:val="single"/>
        </w:rPr>
        <w:t>Losse sessie</w:t>
      </w:r>
      <w:r w:rsidRPr="00660355">
        <w:rPr>
          <w:sz w:val="20"/>
          <w:szCs w:val="20"/>
        </w:rPr>
        <w:t xml:space="preserve">: betaling voor elke soort losse sessie vindt vooraf plaats door middel van een betaallink of overboeking, zonder betaling gaat de sessie niet door. </w:t>
      </w:r>
      <w:r w:rsidRPr="00660355">
        <w:rPr>
          <w:sz w:val="20"/>
          <w:szCs w:val="20"/>
        </w:rPr>
        <w:br/>
        <w:t xml:space="preserve">6.2 </w:t>
      </w:r>
      <w:r w:rsidRPr="00660355">
        <w:rPr>
          <w:sz w:val="20"/>
          <w:szCs w:val="20"/>
          <w:u w:val="single"/>
        </w:rPr>
        <w:t>Reiki pakket</w:t>
      </w:r>
      <w:r w:rsidRPr="00660355">
        <w:rPr>
          <w:sz w:val="20"/>
          <w:szCs w:val="20"/>
        </w:rPr>
        <w:t>: kan zowel na een losse sessie (in dat geval valt die eerste sessie niet binnen het pakket) als direct worden gekozen en dient vooraf betaald te worden.</w:t>
      </w:r>
      <w:r w:rsidRPr="00660355">
        <w:rPr>
          <w:sz w:val="20"/>
          <w:szCs w:val="20"/>
        </w:rPr>
        <w:br/>
        <w:t>6.3 </w:t>
      </w:r>
      <w:r w:rsidRPr="00660355">
        <w:rPr>
          <w:sz w:val="20"/>
          <w:szCs w:val="20"/>
          <w:u w:val="single"/>
        </w:rPr>
        <w:t>TTC pakket</w:t>
      </w:r>
      <w:r w:rsidRPr="00660355">
        <w:rPr>
          <w:sz w:val="20"/>
          <w:szCs w:val="20"/>
        </w:rPr>
        <w:t xml:space="preserve">: kan zowel na een losse sessie (in dat geval valt die eerste sessie niet binnen het pakket) als direct worden gekozen en dient vooraf betaald te worden. </w:t>
      </w:r>
      <w:r w:rsidRPr="00660355">
        <w:rPr>
          <w:sz w:val="20"/>
          <w:szCs w:val="20"/>
        </w:rPr>
        <w:br/>
        <w:t xml:space="preserve">6.4 </w:t>
      </w:r>
      <w:r w:rsidRPr="00660355">
        <w:rPr>
          <w:sz w:val="20"/>
          <w:szCs w:val="20"/>
          <w:u w:val="single"/>
        </w:rPr>
        <w:t>Kundalini pakket</w:t>
      </w:r>
      <w:r w:rsidRPr="00660355">
        <w:rPr>
          <w:sz w:val="20"/>
          <w:szCs w:val="20"/>
        </w:rPr>
        <w:t>: kan in één of twee termijnen worden betaald. De eerste termijn of de volledige betaling in het geval van één termijn dient voor de eerste sessie voldaan te zijn. De tweede termijn volgt een maand later na de eerste. Indien deze niet wordt voldaan, kan niet verder worden gegaan met de volgende sessies.</w:t>
      </w:r>
      <w:r w:rsidRPr="00660355">
        <w:rPr>
          <w:sz w:val="20"/>
          <w:szCs w:val="20"/>
        </w:rPr>
        <w:br/>
        <w:t xml:space="preserve">6.5 </w:t>
      </w:r>
      <w:r w:rsidRPr="00660355">
        <w:rPr>
          <w:sz w:val="20"/>
          <w:szCs w:val="20"/>
          <w:u w:val="single"/>
        </w:rPr>
        <w:t>Guidance traject</w:t>
      </w:r>
      <w:r w:rsidRPr="00660355">
        <w:rPr>
          <w:sz w:val="20"/>
          <w:szCs w:val="20"/>
        </w:rPr>
        <w:t>: kan voldaan worden in 1 of 3 termijnen. Die enige of de eerste termijn dient voldaan te zijn vóór de eerste sessie. De tweede en derde betaling volgen een maand na de vorige. Indien de volgende termijnen van het coachtraject niet tijdig betaald worden, stopt de begeleiding onmiddellijk, tot de betaling is voldaan.</w:t>
      </w:r>
      <w:r w:rsidRPr="00660355">
        <w:rPr>
          <w:sz w:val="20"/>
          <w:szCs w:val="20"/>
        </w:rPr>
        <w:br/>
        <w:t xml:space="preserve">6.6 </w:t>
      </w:r>
      <w:r w:rsidRPr="00660355">
        <w:rPr>
          <w:sz w:val="20"/>
          <w:szCs w:val="20"/>
          <w:u w:val="single"/>
        </w:rPr>
        <w:t>Cursussen</w:t>
      </w:r>
      <w:r w:rsidRPr="00660355">
        <w:rPr>
          <w:sz w:val="20"/>
          <w:szCs w:val="20"/>
        </w:rPr>
        <w:t>: betaling voor de Reiki cursussen dient per cursus vooraf voldaan te zijn, anders gaat de cursus helaas niet door.</w:t>
      </w:r>
      <w:r w:rsidRPr="00660355">
        <w:rPr>
          <w:sz w:val="20"/>
          <w:szCs w:val="20"/>
        </w:rPr>
        <w:br/>
        <w:t xml:space="preserve">6.7 </w:t>
      </w:r>
      <w:r w:rsidRPr="00660355">
        <w:rPr>
          <w:sz w:val="20"/>
          <w:szCs w:val="20"/>
          <w:u w:val="single"/>
        </w:rPr>
        <w:t>Terugbetaling</w:t>
      </w:r>
      <w:r w:rsidRPr="00660355">
        <w:rPr>
          <w:sz w:val="20"/>
          <w:szCs w:val="20"/>
        </w:rPr>
        <w:t>: er wordt in het geval van ontevredenheid over (het resultaat van) een sessie/cursus geen geld terug gegeven, je betaalt namelijk ook voor de tijd die ik met je sessie bezig ben. Indien je niet tevreden bent, kun je dit natuurlijk wel aangeven (zie ook artikel 8 en artikel 10) om te kijken of ik iets voor je kan betekenen.</w:t>
      </w:r>
    </w:p>
    <w:p w:rsidR="00660355" w:rsidRPr="00660355" w:rsidRDefault="00660355" w:rsidP="00660355">
      <w:pPr>
        <w:pStyle w:val="Geenafstand"/>
        <w:rPr>
          <w:sz w:val="20"/>
          <w:szCs w:val="20"/>
        </w:rPr>
      </w:pPr>
    </w:p>
    <w:p w:rsidR="00660355" w:rsidRDefault="00660355" w:rsidP="00660355">
      <w:pPr>
        <w:pStyle w:val="Geenafstand"/>
        <w:rPr>
          <w:sz w:val="20"/>
          <w:szCs w:val="20"/>
        </w:rPr>
      </w:pPr>
      <w:r w:rsidRPr="00660355">
        <w:rPr>
          <w:rStyle w:val="Zwaar"/>
          <w:sz w:val="20"/>
          <w:szCs w:val="20"/>
        </w:rPr>
        <w:t>Artikel 7. Te laat komen of verplaatsen</w:t>
      </w:r>
      <w:r w:rsidRPr="00660355">
        <w:rPr>
          <w:b/>
          <w:bCs/>
          <w:sz w:val="20"/>
          <w:szCs w:val="20"/>
        </w:rPr>
        <w:br/>
      </w:r>
      <w:r w:rsidRPr="00660355">
        <w:rPr>
          <w:sz w:val="20"/>
          <w:szCs w:val="20"/>
        </w:rPr>
        <w:t xml:space="preserve">7.1 </w:t>
      </w:r>
      <w:r w:rsidRPr="00660355">
        <w:rPr>
          <w:sz w:val="20"/>
          <w:szCs w:val="20"/>
          <w:u w:val="single"/>
        </w:rPr>
        <w:t>Te laat</w:t>
      </w:r>
      <w:r w:rsidRPr="00660355">
        <w:rPr>
          <w:sz w:val="20"/>
          <w:szCs w:val="20"/>
        </w:rPr>
        <w:t>: indien je voor een online of offline (groep) sessie/cursus later bent dan 10 minuten van de geplande tijd, kun je helaas niet meer deelnemen. Indien je al verwacht te laat te komen, breng mij hiervan dan op de hoogte zodat ik kan terugkoppelen óf het wat later kan of dat het een ander moment wordt. Indien je vaker te laat komt, spreek ik je hierop aan met de vraag of je hierop wilt letten. Gebeurt dit niet, dan kan het zijn dat de samenwerking beëindigd wordt, want ik ga uit van je inzet.</w:t>
      </w:r>
      <w:r w:rsidRPr="00660355">
        <w:rPr>
          <w:sz w:val="20"/>
          <w:szCs w:val="20"/>
        </w:rPr>
        <w:br/>
        <w:t xml:space="preserve">7.2 </w:t>
      </w:r>
      <w:r w:rsidRPr="00660355">
        <w:rPr>
          <w:sz w:val="20"/>
          <w:szCs w:val="20"/>
          <w:u w:val="single"/>
        </w:rPr>
        <w:t>Verplaatsen</w:t>
      </w:r>
      <w:r w:rsidRPr="00660355">
        <w:rPr>
          <w:sz w:val="20"/>
          <w:szCs w:val="20"/>
        </w:rPr>
        <w:t>: indien je een sessie/cursus wilt verplaatsen, vraag dit dan uiterlijk 24 uur van tevoren. In de meeste gevallen is dit geen probleem en geef ik nieuwe dag/tijd opties aan. Doe je dit niet voor deze uiterlijke termijn, dan worden de kosten van de sessie alsnog in rekening gebracht of je wel of niet nog kunt deelnemen.</w:t>
      </w:r>
    </w:p>
    <w:p w:rsidR="00660355" w:rsidRPr="00660355" w:rsidRDefault="00660355" w:rsidP="00660355">
      <w:pPr>
        <w:pStyle w:val="Geenafstand"/>
        <w:rPr>
          <w:sz w:val="20"/>
          <w:szCs w:val="20"/>
        </w:rPr>
      </w:pPr>
    </w:p>
    <w:p w:rsidR="00660355" w:rsidRDefault="00660355" w:rsidP="00660355">
      <w:pPr>
        <w:pStyle w:val="Geenafstand"/>
        <w:rPr>
          <w:sz w:val="20"/>
          <w:szCs w:val="20"/>
        </w:rPr>
      </w:pPr>
      <w:r w:rsidRPr="00660355">
        <w:rPr>
          <w:rStyle w:val="Zwaar"/>
          <w:sz w:val="20"/>
          <w:szCs w:val="20"/>
        </w:rPr>
        <w:t>Artikel 8. Annuleren, voortijdse beëindiging of pauze</w:t>
      </w:r>
      <w:r w:rsidRPr="00660355">
        <w:rPr>
          <w:sz w:val="20"/>
          <w:szCs w:val="20"/>
        </w:rPr>
        <w:br/>
        <w:t xml:space="preserve">8.1 </w:t>
      </w:r>
      <w:r w:rsidRPr="00660355">
        <w:rPr>
          <w:sz w:val="20"/>
          <w:szCs w:val="20"/>
          <w:u w:val="single"/>
        </w:rPr>
        <w:t>Annuleren</w:t>
      </w:r>
      <w:r w:rsidRPr="00660355">
        <w:rPr>
          <w:sz w:val="20"/>
          <w:szCs w:val="20"/>
        </w:rPr>
        <w:t>: indien je welke soort geboekte sessie/cursus van The Green Guide dan ook wilt annuleren, dien je dit uiterlijk 24 uur van tevoren te doen per mail. Tot 24 uur van tevoren kun je je geld terug krijgen, wordt het korter van tevoren gedaan, dan wordt het bedrag alsnog in rekening gebracht. </w:t>
      </w:r>
      <w:r w:rsidRPr="00660355">
        <w:rPr>
          <w:sz w:val="20"/>
          <w:szCs w:val="20"/>
        </w:rPr>
        <w:br/>
        <w:t xml:space="preserve">8.2 </w:t>
      </w:r>
      <w:r w:rsidRPr="00660355">
        <w:rPr>
          <w:sz w:val="20"/>
          <w:szCs w:val="20"/>
          <w:u w:val="single"/>
        </w:rPr>
        <w:t>Voortijdse beëndiging</w:t>
      </w:r>
      <w:r w:rsidRPr="00660355">
        <w:rPr>
          <w:sz w:val="20"/>
          <w:szCs w:val="20"/>
        </w:rPr>
        <w:t>: indien je een Reiki, TTC of Kundalini pakket voortijdig wilt beëindigen, dan kun je dit per mail aangeven. De volgende sessies gaan dan niet meer door en de volgende termijnen zullen niet meer in rekening worden gebracht, maar er wordt géén teruggave gedaan voor betaalde termijnen. Ook voor het Guidance Traject geldt dat indien je voortijdse beëindiging wenst, je dit per mail of in gesprek kenbaar dient te maken. Ik kijk dan of ik nog iets voor je kan doen (omdat soms weerstand voelen een reden kan zijn om te willen stoppen en dat juist onderdeel is van het proces) en we zo goed mogelijk kunnen afronden. De volgende sessies gaan dan niet meer door en de volgende termijnen zullen niet meer in rekening worden gebracht, maar er wordt géén teruggave gedaan voor betaalde termijnen. </w:t>
      </w:r>
      <w:r w:rsidRPr="00660355">
        <w:rPr>
          <w:sz w:val="20"/>
          <w:szCs w:val="20"/>
        </w:rPr>
        <w:br/>
        <w:t xml:space="preserve">8.3 </w:t>
      </w:r>
      <w:r w:rsidRPr="00660355">
        <w:rPr>
          <w:sz w:val="20"/>
          <w:szCs w:val="20"/>
          <w:u w:val="single"/>
        </w:rPr>
        <w:t>Pauze</w:t>
      </w:r>
      <w:r w:rsidRPr="00660355">
        <w:rPr>
          <w:sz w:val="20"/>
          <w:szCs w:val="20"/>
        </w:rPr>
        <w:t>: als je een pauze wilt inlassen tijdens je pakket of Guidance Traject, vraag dit dan altijd in overleg. Het is belangrijk voor het proces dat je dit niet zomaar zelf beslist, maar dat we dit in overleg doen. Soms kan ik je bijvoorbeeld juist ondersteunen in waar je doorheen gaat - ook al is dat anders dan de initiële coachvraag. Uiteraard heb ik er respect voor als er wat gebeurt in je leven en dan kijken we samen naar de beste keuze op dat moment.</w:t>
      </w:r>
    </w:p>
    <w:p w:rsidR="00660355" w:rsidRPr="00660355" w:rsidRDefault="00660355" w:rsidP="00660355">
      <w:pPr>
        <w:pStyle w:val="Geenafstand"/>
        <w:rPr>
          <w:sz w:val="20"/>
          <w:szCs w:val="20"/>
        </w:rPr>
      </w:pPr>
    </w:p>
    <w:p w:rsidR="00660355" w:rsidRPr="00660355" w:rsidRDefault="00660355" w:rsidP="00660355">
      <w:pPr>
        <w:pStyle w:val="Geenafstand"/>
        <w:rPr>
          <w:sz w:val="20"/>
          <w:szCs w:val="20"/>
        </w:rPr>
      </w:pPr>
      <w:r w:rsidRPr="00660355">
        <w:rPr>
          <w:b/>
          <w:bCs/>
          <w:sz w:val="20"/>
          <w:szCs w:val="20"/>
        </w:rPr>
        <w:t>Artikel 9. Betekenis, belofte/eigen risico &amp; doorsturen </w:t>
      </w:r>
      <w:r w:rsidRPr="00660355">
        <w:rPr>
          <w:b/>
          <w:bCs/>
          <w:sz w:val="20"/>
          <w:szCs w:val="20"/>
        </w:rPr>
        <w:br/>
      </w:r>
      <w:r w:rsidRPr="00660355">
        <w:rPr>
          <w:sz w:val="20"/>
          <w:szCs w:val="20"/>
        </w:rPr>
        <w:t xml:space="preserve">9.1 </w:t>
      </w:r>
      <w:r w:rsidRPr="00660355">
        <w:rPr>
          <w:sz w:val="20"/>
          <w:szCs w:val="20"/>
          <w:u w:val="single"/>
        </w:rPr>
        <w:t>Betekenis</w:t>
      </w:r>
      <w:r w:rsidRPr="00660355">
        <w:rPr>
          <w:sz w:val="20"/>
          <w:szCs w:val="20"/>
        </w:rPr>
        <w:t xml:space="preserve">: de term healer staat niet voor dat ik jou genees, maar dat ik jou ondersteun in jouw proces van </w:t>
      </w:r>
      <w:r w:rsidRPr="00660355">
        <w:rPr>
          <w:sz w:val="20"/>
          <w:szCs w:val="20"/>
        </w:rPr>
        <w:lastRenderedPageBreak/>
        <w:t>zelfheling. De term guide/coach houdt in dat ik je begeleid naast je zijde, wat jij daarmee doet/welke keuzes je maakt is jouw verantwoordelijkheid. Het resultaat dat je behaalt is dan ook grotendeels afhankelijk van je integratie. </w:t>
      </w:r>
      <w:r w:rsidRPr="00660355">
        <w:rPr>
          <w:sz w:val="20"/>
          <w:szCs w:val="20"/>
        </w:rPr>
        <w:br/>
        <w:t xml:space="preserve">9.2 </w:t>
      </w:r>
      <w:r w:rsidRPr="00660355">
        <w:rPr>
          <w:sz w:val="20"/>
          <w:szCs w:val="20"/>
          <w:u w:val="single"/>
        </w:rPr>
        <w:t>Belofte</w:t>
      </w:r>
      <w:r w:rsidRPr="00660355">
        <w:rPr>
          <w:sz w:val="20"/>
          <w:szCs w:val="20"/>
        </w:rPr>
        <w:t>: ik kan niet beloven wat een Reiki, TTC of Kundalini sessie, pakket of Guidance Traject je brengt, dat is per keer en per persoon anders. The Green Guide is niet verantwoordelijk voor gebeurtenissen/klachten die tijdens/na sessies, pakketten of trajecten ontstaan (boeken is op eigen risico). Ik begeleid je zo goed mogelijk. Als je ergens mee zit, bespreek dit dan met mij, zodat ik met je mee kan kijken. En pas belangrijke tips zoals water drinken, rust nemen etc toe voor de juiste integratie.</w:t>
      </w:r>
      <w:r w:rsidRPr="00660355">
        <w:rPr>
          <w:sz w:val="20"/>
          <w:szCs w:val="20"/>
        </w:rPr>
        <w:br/>
        <w:t xml:space="preserve">9.3 </w:t>
      </w:r>
      <w:r w:rsidRPr="00660355">
        <w:rPr>
          <w:sz w:val="20"/>
          <w:szCs w:val="20"/>
          <w:u w:val="single"/>
        </w:rPr>
        <w:t>Doorsturen</w:t>
      </w:r>
      <w:r w:rsidRPr="00660355">
        <w:rPr>
          <w:sz w:val="20"/>
          <w:szCs w:val="20"/>
        </w:rPr>
        <w:t>: ik vorm als healer &amp; coach géén vervanging voor reguliere psychische hulp (zoals huisarts, therapie of psycholoog). Indien nodig zal ik je - als ik aspecten voor die werkgebieden signaleer - daarvoor doorsturen. Sessie kunnen als aanvulling ingezet worden, dit mag je bespreken met je begeleider.</w:t>
      </w:r>
      <w:r w:rsidRPr="00660355">
        <w:rPr>
          <w:sz w:val="20"/>
          <w:szCs w:val="20"/>
        </w:rPr>
        <w:br/>
      </w:r>
      <w:r w:rsidRPr="00660355">
        <w:rPr>
          <w:sz w:val="20"/>
          <w:szCs w:val="20"/>
        </w:rPr>
        <w:br/>
      </w:r>
      <w:r w:rsidRPr="00660355">
        <w:rPr>
          <w:rStyle w:val="Zwaar"/>
          <w:sz w:val="20"/>
          <w:szCs w:val="20"/>
        </w:rPr>
        <w:t>Artikel 10. Klachtenprocedure</w:t>
      </w:r>
      <w:r w:rsidRPr="00660355">
        <w:rPr>
          <w:b/>
          <w:bCs/>
          <w:sz w:val="20"/>
          <w:szCs w:val="20"/>
        </w:rPr>
        <w:br/>
      </w:r>
      <w:r w:rsidRPr="00660355">
        <w:rPr>
          <w:sz w:val="20"/>
          <w:szCs w:val="20"/>
        </w:rPr>
        <w:t xml:space="preserve">Met ingang van 1 januari 2017 moeten alle (alternatieve) zorgverleners in Nederland voldoen aan eisen die in het kader van de Wet kwaliteit, klachten en geschillen zorg (Wkkgz) worden gesteld. Met The Green Guide voldoe ik aan deze eisen. Indien je een klacht hebt, stel ik het op prijs als je dit met mij bespreekt, zodat we samen kunnen kijken naar een oplossing. Zo kunnen we altijd even videobellen om te bespreken waar je mee zit. Indien je daarmee niet tevreden bent kun je dit nogmaals aangeven bij mij en in het ergste geval kun je gratis gebruikmaken van een onafhankelijke klachtenfunctionaris. Indien dat niet tot het gewenste resultaat leidt kun je je wenden tot een onafhankelijke en erkende geschilleninstantie waar ik bij ben aangesloten. Meer informatie hierover vind je op de site van Zorg voor ZZP (zie </w:t>
      </w:r>
      <w:hyperlink r:id="rId7" w:tgtFrame="_blank" w:history="1">
        <w:r w:rsidRPr="00660355">
          <w:rPr>
            <w:rStyle w:val="Hyperlink"/>
            <w:sz w:val="20"/>
            <w:szCs w:val="20"/>
          </w:rPr>
          <w:t>klachtenprocedure</w:t>
        </w:r>
      </w:hyperlink>
      <w:r w:rsidRPr="00660355">
        <w:rPr>
          <w:sz w:val="20"/>
          <w:szCs w:val="20"/>
        </w:rPr>
        <w:t>).</w:t>
      </w:r>
    </w:p>
    <w:p w:rsidR="005D1C9F" w:rsidRPr="005D1C9F" w:rsidRDefault="005D1C9F" w:rsidP="005D1C9F">
      <w:pPr>
        <w:pStyle w:val="Normaalweb"/>
        <w:rPr>
          <w:rFonts w:asciiTheme="minorHAnsi" w:hAnsiTheme="minorHAnsi" w:cstheme="minorHAnsi"/>
          <w:sz w:val="20"/>
          <w:szCs w:val="22"/>
        </w:rPr>
      </w:pPr>
      <w:r w:rsidRPr="005D1C9F">
        <w:rPr>
          <w:rFonts w:asciiTheme="minorHAnsi" w:hAnsiTheme="minorHAnsi" w:cstheme="minorHAnsi"/>
          <w:noProof/>
          <w:sz w:val="20"/>
          <w:szCs w:val="22"/>
        </w:rPr>
        <w:drawing>
          <wp:inline distT="0" distB="0" distL="0" distR="0">
            <wp:extent cx="2854325" cy="628015"/>
            <wp:effectExtent l="0" t="0" r="3175" b="0"/>
            <wp:docPr id="1" name="Afbeelding 1" descr="https://thegreenguide.nl/wp-content/uploads/2023/01/Zorg-voor-zzp-klachten-regeling-300x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greenguide.nl/wp-content/uploads/2023/01/Zorg-voor-zzp-klachten-regeling-300x66.png"/>
                    <pic:cNvPicPr>
                      <a:picLocks noChangeAspect="1" noChangeArrowheads="1"/>
                    </pic:cNvPicPr>
                  </pic:nvPicPr>
                  <pic:blipFill>
                    <a:blip r:embed="rId8" cstate="print"/>
                    <a:srcRect/>
                    <a:stretch>
                      <a:fillRect/>
                    </a:stretch>
                  </pic:blipFill>
                  <pic:spPr bwMode="auto">
                    <a:xfrm>
                      <a:off x="0" y="0"/>
                      <a:ext cx="2854325" cy="628015"/>
                    </a:xfrm>
                    <a:prstGeom prst="rect">
                      <a:avLst/>
                    </a:prstGeom>
                    <a:noFill/>
                    <a:ln w="9525">
                      <a:noFill/>
                      <a:miter lim="800000"/>
                      <a:headEnd/>
                      <a:tailEnd/>
                    </a:ln>
                  </pic:spPr>
                </pic:pic>
              </a:graphicData>
            </a:graphic>
          </wp:inline>
        </w:drawing>
      </w:r>
    </w:p>
    <w:p w:rsidR="005D1C9F" w:rsidRPr="005D1C9F" w:rsidRDefault="005D1C9F" w:rsidP="005D1C9F">
      <w:pPr>
        <w:pStyle w:val="Normaalweb"/>
        <w:rPr>
          <w:rFonts w:asciiTheme="minorHAnsi" w:hAnsiTheme="minorHAnsi" w:cstheme="minorHAnsi"/>
          <w:sz w:val="20"/>
          <w:szCs w:val="22"/>
        </w:rPr>
      </w:pPr>
      <w:r w:rsidRPr="005D1C9F">
        <w:rPr>
          <w:rStyle w:val="Zwaar"/>
          <w:rFonts w:asciiTheme="minorHAnsi" w:hAnsiTheme="minorHAnsi" w:cstheme="minorHAnsi"/>
          <w:sz w:val="20"/>
          <w:szCs w:val="22"/>
        </w:rPr>
        <w:t>Artikel 11. Certificering &amp; beroepsvereniging</w:t>
      </w:r>
      <w:r w:rsidRPr="005D1C9F">
        <w:rPr>
          <w:rFonts w:asciiTheme="minorHAnsi" w:hAnsiTheme="minorHAnsi" w:cstheme="minorHAnsi"/>
          <w:b/>
          <w:bCs/>
          <w:sz w:val="20"/>
          <w:szCs w:val="22"/>
        </w:rPr>
        <w:br/>
      </w:r>
      <w:r w:rsidRPr="005D1C9F">
        <w:rPr>
          <w:rFonts w:asciiTheme="minorHAnsi" w:hAnsiTheme="minorHAnsi" w:cstheme="minorHAnsi"/>
          <w:sz w:val="20"/>
          <w:szCs w:val="22"/>
        </w:rPr>
        <w:t xml:space="preserve">11.1 </w:t>
      </w:r>
      <w:r w:rsidRPr="005D1C9F">
        <w:rPr>
          <w:rFonts w:asciiTheme="minorHAnsi" w:hAnsiTheme="minorHAnsi" w:cstheme="minorHAnsi"/>
          <w:sz w:val="20"/>
          <w:szCs w:val="22"/>
          <w:u w:val="single"/>
        </w:rPr>
        <w:t>Certificering</w:t>
      </w:r>
      <w:r w:rsidRPr="005D1C9F">
        <w:rPr>
          <w:rFonts w:asciiTheme="minorHAnsi" w:hAnsiTheme="minorHAnsi" w:cstheme="minorHAnsi"/>
          <w:sz w:val="20"/>
          <w:szCs w:val="22"/>
        </w:rPr>
        <w:t>: healer of coach is geen beschermd beroep. Voor de beste begeleiding heb ik 1</w:t>
      </w:r>
      <w:r w:rsidR="00BC7391">
        <w:rPr>
          <w:rFonts w:asciiTheme="minorHAnsi" w:hAnsiTheme="minorHAnsi" w:cstheme="minorHAnsi"/>
          <w:sz w:val="20"/>
          <w:szCs w:val="22"/>
        </w:rPr>
        <w:t>5</w:t>
      </w:r>
      <w:r w:rsidRPr="005D1C9F">
        <w:rPr>
          <w:rFonts w:asciiTheme="minorHAnsi" w:hAnsiTheme="minorHAnsi" w:cstheme="minorHAnsi"/>
          <w:sz w:val="20"/>
          <w:szCs w:val="22"/>
        </w:rPr>
        <w:t>+ gecertificeerde cursussen/opleidingen afgerond en ik blijf bijscholing volgen om me te verdiepen. De MBO/HBO studies die ik gevolgd heb en staan vermeld op mijn website, zijn onder andere gecertificeerd/geaccrediteerd door:</w:t>
      </w:r>
    </w:p>
    <w:p w:rsidR="005D1C9F" w:rsidRPr="005D1C9F" w:rsidRDefault="005D1C9F" w:rsidP="005D1C9F">
      <w:pPr>
        <w:pStyle w:val="Normaalweb"/>
        <w:rPr>
          <w:sz w:val="22"/>
        </w:rPr>
      </w:pPr>
      <w:r w:rsidRPr="005D1C9F">
        <w:rPr>
          <w:noProof/>
          <w:sz w:val="22"/>
        </w:rPr>
        <w:drawing>
          <wp:inline distT="0" distB="0" distL="0" distR="0">
            <wp:extent cx="715645" cy="715645"/>
            <wp:effectExtent l="0" t="0" r="8255" b="0"/>
            <wp:docPr id="2" name="Afbeelding 2" descr="https://thegreenguide.nl/wp-content/uploads/2023/01/Reiki-usui-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greenguide.nl/wp-content/uploads/2023/01/Reiki-usui-150x150.png"/>
                    <pic:cNvPicPr>
                      <a:picLocks noChangeAspect="1" noChangeArrowheads="1"/>
                    </pic:cNvPicPr>
                  </pic:nvPicPr>
                  <pic:blipFill>
                    <a:blip r:embed="rId9" cstate="print"/>
                    <a:srcRect/>
                    <a:stretch>
                      <a:fillRect/>
                    </a:stretch>
                  </pic:blipFill>
                  <pic:spPr bwMode="auto">
                    <a:xfrm>
                      <a:off x="0" y="0"/>
                      <a:ext cx="715645" cy="715645"/>
                    </a:xfrm>
                    <a:prstGeom prst="rect">
                      <a:avLst/>
                    </a:prstGeom>
                    <a:noFill/>
                    <a:ln w="9525">
                      <a:noFill/>
                      <a:miter lim="800000"/>
                      <a:headEnd/>
                      <a:tailEnd/>
                    </a:ln>
                  </pic:spPr>
                </pic:pic>
              </a:graphicData>
            </a:graphic>
          </wp:inline>
        </w:drawing>
      </w:r>
      <w:r w:rsidRPr="005D1C9F">
        <w:rPr>
          <w:noProof/>
          <w:sz w:val="22"/>
        </w:rPr>
        <w:drawing>
          <wp:inline distT="0" distB="0" distL="0" distR="0">
            <wp:extent cx="715645" cy="715645"/>
            <wp:effectExtent l="19050" t="0" r="8255" b="0"/>
            <wp:docPr id="3" name="Afbeelding 3" descr="https://thegreenguide.nl/wp-content/uploads/2023/01/NRT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greenguide.nl/wp-content/uploads/2023/01/NRTO-150x150.png"/>
                    <pic:cNvPicPr>
                      <a:picLocks noChangeAspect="1" noChangeArrowheads="1"/>
                    </pic:cNvPicPr>
                  </pic:nvPicPr>
                  <pic:blipFill>
                    <a:blip r:embed="rId10" cstate="print"/>
                    <a:srcRect/>
                    <a:stretch>
                      <a:fillRect/>
                    </a:stretch>
                  </pic:blipFill>
                  <pic:spPr bwMode="auto">
                    <a:xfrm>
                      <a:off x="0" y="0"/>
                      <a:ext cx="715645" cy="715645"/>
                    </a:xfrm>
                    <a:prstGeom prst="rect">
                      <a:avLst/>
                    </a:prstGeom>
                    <a:noFill/>
                    <a:ln w="9525">
                      <a:noFill/>
                      <a:miter lim="800000"/>
                      <a:headEnd/>
                      <a:tailEnd/>
                    </a:ln>
                  </pic:spPr>
                </pic:pic>
              </a:graphicData>
            </a:graphic>
          </wp:inline>
        </w:drawing>
      </w:r>
      <w:r w:rsidRPr="005D1C9F">
        <w:rPr>
          <w:noProof/>
          <w:sz w:val="22"/>
        </w:rPr>
        <w:drawing>
          <wp:inline distT="0" distB="0" distL="0" distR="0">
            <wp:extent cx="1621790" cy="715645"/>
            <wp:effectExtent l="19050" t="0" r="0" b="0"/>
            <wp:docPr id="4" name="Afbeelding 4" descr="https://thegreenguide.nl/wp-content/uploads/2023/01/KTNO-150x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egreenguide.nl/wp-content/uploads/2023/01/KTNO-150x66.png"/>
                    <pic:cNvPicPr>
                      <a:picLocks noChangeAspect="1" noChangeArrowheads="1"/>
                    </pic:cNvPicPr>
                  </pic:nvPicPr>
                  <pic:blipFill>
                    <a:blip r:embed="rId11" cstate="print"/>
                    <a:srcRect/>
                    <a:stretch>
                      <a:fillRect/>
                    </a:stretch>
                  </pic:blipFill>
                  <pic:spPr bwMode="auto">
                    <a:xfrm>
                      <a:off x="0" y="0"/>
                      <a:ext cx="1621790" cy="715645"/>
                    </a:xfrm>
                    <a:prstGeom prst="rect">
                      <a:avLst/>
                    </a:prstGeom>
                    <a:noFill/>
                    <a:ln w="9525">
                      <a:noFill/>
                      <a:miter lim="800000"/>
                      <a:headEnd/>
                      <a:tailEnd/>
                    </a:ln>
                  </pic:spPr>
                </pic:pic>
              </a:graphicData>
            </a:graphic>
          </wp:inline>
        </w:drawing>
      </w:r>
      <w:r w:rsidRPr="005D1C9F">
        <w:rPr>
          <w:noProof/>
          <w:sz w:val="22"/>
        </w:rPr>
        <w:drawing>
          <wp:inline distT="0" distB="0" distL="0" distR="0">
            <wp:extent cx="668020" cy="763270"/>
            <wp:effectExtent l="0" t="0" r="0" b="0"/>
            <wp:docPr id="5" name="Afbeelding 5" descr="https://thegreenguide.nl/wp-content/uploads/2023/01/V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egreenguide.nl/wp-content/uploads/2023/01/VBAG.png"/>
                    <pic:cNvPicPr>
                      <a:picLocks noChangeAspect="1" noChangeArrowheads="1"/>
                    </pic:cNvPicPr>
                  </pic:nvPicPr>
                  <pic:blipFill>
                    <a:blip r:embed="rId12" cstate="print"/>
                    <a:srcRect/>
                    <a:stretch>
                      <a:fillRect/>
                    </a:stretch>
                  </pic:blipFill>
                  <pic:spPr bwMode="auto">
                    <a:xfrm>
                      <a:off x="0" y="0"/>
                      <a:ext cx="668020" cy="763270"/>
                    </a:xfrm>
                    <a:prstGeom prst="rect">
                      <a:avLst/>
                    </a:prstGeom>
                    <a:noFill/>
                    <a:ln w="9525">
                      <a:noFill/>
                      <a:miter lim="800000"/>
                      <a:headEnd/>
                      <a:tailEnd/>
                    </a:ln>
                  </pic:spPr>
                </pic:pic>
              </a:graphicData>
            </a:graphic>
          </wp:inline>
        </w:drawing>
      </w:r>
      <w:r w:rsidRPr="005D1C9F">
        <w:rPr>
          <w:noProof/>
          <w:sz w:val="22"/>
        </w:rPr>
        <w:drawing>
          <wp:inline distT="0" distB="0" distL="0" distR="0">
            <wp:extent cx="914400" cy="715645"/>
            <wp:effectExtent l="0" t="0" r="0" b="0"/>
            <wp:docPr id="6" name="Afbeelding 6" descr="https://thegreenguide.nl/wp-content/uploads/2023/01/CRKBO-150x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egreenguide.nl/wp-content/uploads/2023/01/CRKBO-150x118.png"/>
                    <pic:cNvPicPr>
                      <a:picLocks noChangeAspect="1" noChangeArrowheads="1"/>
                    </pic:cNvPicPr>
                  </pic:nvPicPr>
                  <pic:blipFill>
                    <a:blip r:embed="rId13" cstate="print"/>
                    <a:srcRect/>
                    <a:stretch>
                      <a:fillRect/>
                    </a:stretch>
                  </pic:blipFill>
                  <pic:spPr bwMode="auto">
                    <a:xfrm>
                      <a:off x="0" y="0"/>
                      <a:ext cx="914400" cy="715645"/>
                    </a:xfrm>
                    <a:prstGeom prst="rect">
                      <a:avLst/>
                    </a:prstGeom>
                    <a:noFill/>
                    <a:ln w="9525">
                      <a:noFill/>
                      <a:miter lim="800000"/>
                      <a:headEnd/>
                      <a:tailEnd/>
                    </a:ln>
                  </pic:spPr>
                </pic:pic>
              </a:graphicData>
            </a:graphic>
          </wp:inline>
        </w:drawing>
      </w:r>
      <w:r w:rsidRPr="005D1C9F">
        <w:rPr>
          <w:noProof/>
          <w:sz w:val="22"/>
        </w:rPr>
        <w:drawing>
          <wp:inline distT="0" distB="0" distL="0" distR="0">
            <wp:extent cx="723265" cy="715645"/>
            <wp:effectExtent l="19050" t="0" r="635" b="0"/>
            <wp:docPr id="7" name="Afbeelding 7" descr="https://thegreenguide.nl/wp-content/uploads/2023/01/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egreenguide.nl/wp-content/uploads/2023/01/CAT.png"/>
                    <pic:cNvPicPr>
                      <a:picLocks noChangeAspect="1" noChangeArrowheads="1"/>
                    </pic:cNvPicPr>
                  </pic:nvPicPr>
                  <pic:blipFill>
                    <a:blip r:embed="rId14" cstate="print"/>
                    <a:srcRect/>
                    <a:stretch>
                      <a:fillRect/>
                    </a:stretch>
                  </pic:blipFill>
                  <pic:spPr bwMode="auto">
                    <a:xfrm>
                      <a:off x="0" y="0"/>
                      <a:ext cx="723265" cy="715645"/>
                    </a:xfrm>
                    <a:prstGeom prst="rect">
                      <a:avLst/>
                    </a:prstGeom>
                    <a:noFill/>
                    <a:ln w="9525">
                      <a:noFill/>
                      <a:miter lim="800000"/>
                      <a:headEnd/>
                      <a:tailEnd/>
                    </a:ln>
                  </pic:spPr>
                </pic:pic>
              </a:graphicData>
            </a:graphic>
          </wp:inline>
        </w:drawing>
      </w:r>
      <w:r w:rsidRPr="005D1C9F">
        <w:rPr>
          <w:noProof/>
          <w:sz w:val="22"/>
        </w:rPr>
        <w:drawing>
          <wp:inline distT="0" distB="0" distL="0" distR="0">
            <wp:extent cx="723265" cy="715645"/>
            <wp:effectExtent l="19050" t="0" r="635" b="0"/>
            <wp:docPr id="8" name="Afbeelding 8" descr="https://thegreenguide.nl/wp-content/uploads/2023/01/V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egreenguide.nl/wp-content/uploads/2023/01/VYN.jpg"/>
                    <pic:cNvPicPr>
                      <a:picLocks noChangeAspect="1" noChangeArrowheads="1"/>
                    </pic:cNvPicPr>
                  </pic:nvPicPr>
                  <pic:blipFill>
                    <a:blip r:embed="rId15" cstate="print"/>
                    <a:srcRect/>
                    <a:stretch>
                      <a:fillRect/>
                    </a:stretch>
                  </pic:blipFill>
                  <pic:spPr bwMode="auto">
                    <a:xfrm>
                      <a:off x="0" y="0"/>
                      <a:ext cx="723265" cy="715645"/>
                    </a:xfrm>
                    <a:prstGeom prst="rect">
                      <a:avLst/>
                    </a:prstGeom>
                    <a:noFill/>
                    <a:ln w="9525">
                      <a:noFill/>
                      <a:miter lim="800000"/>
                      <a:headEnd/>
                      <a:tailEnd/>
                    </a:ln>
                  </pic:spPr>
                </pic:pic>
              </a:graphicData>
            </a:graphic>
          </wp:inline>
        </w:drawing>
      </w:r>
      <w:r w:rsidRPr="005D1C9F">
        <w:rPr>
          <w:noProof/>
          <w:sz w:val="22"/>
        </w:rPr>
        <w:drawing>
          <wp:inline distT="0" distB="0" distL="0" distR="0">
            <wp:extent cx="1431290" cy="636270"/>
            <wp:effectExtent l="19050" t="0" r="0" b="0"/>
            <wp:docPr id="9" name="Afbeelding 9" descr="https://thegreenguide.nl/wp-content/uploads/2023/07/Yoga-alliance-150x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hegreenguide.nl/wp-content/uploads/2023/07/Yoga-alliance-150x67.png"/>
                    <pic:cNvPicPr>
                      <a:picLocks noChangeAspect="1" noChangeArrowheads="1"/>
                    </pic:cNvPicPr>
                  </pic:nvPicPr>
                  <pic:blipFill>
                    <a:blip r:embed="rId16" cstate="print"/>
                    <a:srcRect/>
                    <a:stretch>
                      <a:fillRect/>
                    </a:stretch>
                  </pic:blipFill>
                  <pic:spPr bwMode="auto">
                    <a:xfrm>
                      <a:off x="0" y="0"/>
                      <a:ext cx="1431290" cy="636270"/>
                    </a:xfrm>
                    <a:prstGeom prst="rect">
                      <a:avLst/>
                    </a:prstGeom>
                    <a:noFill/>
                    <a:ln w="9525">
                      <a:noFill/>
                      <a:miter lim="800000"/>
                      <a:headEnd/>
                      <a:tailEnd/>
                    </a:ln>
                  </pic:spPr>
                </pic:pic>
              </a:graphicData>
            </a:graphic>
          </wp:inline>
        </w:drawing>
      </w:r>
    </w:p>
    <w:p w:rsidR="005D1C9F" w:rsidRPr="005D1C9F" w:rsidRDefault="005D1C9F" w:rsidP="005D1C9F">
      <w:pPr>
        <w:pStyle w:val="Normaalweb"/>
        <w:rPr>
          <w:rFonts w:asciiTheme="minorHAnsi" w:hAnsiTheme="minorHAnsi" w:cstheme="minorHAnsi"/>
          <w:sz w:val="20"/>
          <w:szCs w:val="22"/>
        </w:rPr>
      </w:pPr>
      <w:r w:rsidRPr="005D1C9F">
        <w:rPr>
          <w:rFonts w:asciiTheme="minorHAnsi" w:hAnsiTheme="minorHAnsi" w:cstheme="minorHAnsi"/>
          <w:sz w:val="20"/>
          <w:szCs w:val="22"/>
        </w:rPr>
        <w:t xml:space="preserve">11.2 </w:t>
      </w:r>
      <w:r w:rsidRPr="005D1C9F">
        <w:rPr>
          <w:rFonts w:asciiTheme="minorHAnsi" w:hAnsiTheme="minorHAnsi" w:cstheme="minorHAnsi"/>
          <w:sz w:val="20"/>
          <w:szCs w:val="22"/>
          <w:u w:val="single"/>
        </w:rPr>
        <w:t>Beroepsvereniging</w:t>
      </w:r>
      <w:r w:rsidRPr="005D1C9F">
        <w:rPr>
          <w:rFonts w:asciiTheme="minorHAnsi" w:hAnsiTheme="minorHAnsi" w:cstheme="minorHAnsi"/>
          <w:sz w:val="20"/>
          <w:szCs w:val="22"/>
        </w:rPr>
        <w:t>: is een studie geaccrediteerd dan komt de student tegemoet aan de eisen van beroepsverenigingen, maar inschrijving daarbij is niet verplicht. Dit is dan ook niet het geval voor The Green Guide vanwege verschillende redenen. Wat betreft de Reiki sessies handel ik volgens de ethische code van de Reiki Cirkel Vereniging. Helaas nemen zij geen nieuwe leden aan, dus kan ik me hier niet officieel bij aansluiten. </w:t>
      </w:r>
    </w:p>
    <w:p w:rsidR="005D1C9F" w:rsidRPr="005D1C9F" w:rsidRDefault="005D1C9F" w:rsidP="005D1C9F">
      <w:pPr>
        <w:pStyle w:val="Normaalweb"/>
        <w:rPr>
          <w:rFonts w:asciiTheme="minorHAnsi" w:hAnsiTheme="minorHAnsi" w:cstheme="minorHAnsi"/>
          <w:sz w:val="20"/>
          <w:szCs w:val="22"/>
        </w:rPr>
      </w:pPr>
      <w:r w:rsidRPr="005D1C9F">
        <w:rPr>
          <w:rStyle w:val="Zwaar"/>
          <w:rFonts w:asciiTheme="minorHAnsi" w:hAnsiTheme="minorHAnsi" w:cstheme="minorHAnsi"/>
          <w:sz w:val="20"/>
          <w:szCs w:val="22"/>
        </w:rPr>
        <w:t>Artikel 12. E-books van The Green Guide</w:t>
      </w:r>
      <w:r w:rsidRPr="005D1C9F">
        <w:rPr>
          <w:rFonts w:asciiTheme="minorHAnsi" w:hAnsiTheme="minorHAnsi" w:cstheme="minorHAnsi"/>
          <w:b/>
          <w:bCs/>
          <w:sz w:val="20"/>
          <w:szCs w:val="22"/>
        </w:rPr>
        <w:br/>
      </w:r>
      <w:r w:rsidRPr="005D1C9F">
        <w:rPr>
          <w:rFonts w:asciiTheme="minorHAnsi" w:hAnsiTheme="minorHAnsi" w:cstheme="minorHAnsi"/>
          <w:sz w:val="20"/>
          <w:szCs w:val="22"/>
        </w:rPr>
        <w:t>De e-books van The Green Guide zijn bedoeld ter inspiratie, daarmee bedoel ik bijvoorbeeld: het vegan e-book is geen voedingsadvies en de journal guide is geen vervanging van therapie. Aan de e-books kunnen geen rechten worden ontleend. Het kopiëren van of het delen van deze content met anderen is niet toegestaan. Indien je niet tevreden bent over je e-book aankoop, kun je binnen 14 dagen na aankoop je geld terug vragen per mail. </w:t>
      </w:r>
    </w:p>
    <w:p w:rsidR="005D1C9F" w:rsidRPr="005D1C9F" w:rsidRDefault="005D1C9F" w:rsidP="005D1C9F">
      <w:pPr>
        <w:pStyle w:val="Normaalweb"/>
        <w:rPr>
          <w:rFonts w:asciiTheme="minorHAnsi" w:hAnsiTheme="minorHAnsi" w:cstheme="minorHAnsi"/>
          <w:sz w:val="20"/>
          <w:szCs w:val="22"/>
        </w:rPr>
      </w:pPr>
      <w:r w:rsidRPr="005D1C9F">
        <w:rPr>
          <w:rStyle w:val="Zwaar"/>
          <w:rFonts w:asciiTheme="minorHAnsi" w:hAnsiTheme="minorHAnsi" w:cstheme="minorHAnsi"/>
          <w:sz w:val="20"/>
          <w:szCs w:val="22"/>
        </w:rPr>
        <w:lastRenderedPageBreak/>
        <w:t>Artikel 13. Winacties van The Green Guide</w:t>
      </w:r>
      <w:r w:rsidRPr="005D1C9F">
        <w:rPr>
          <w:rFonts w:asciiTheme="minorHAnsi" w:hAnsiTheme="minorHAnsi" w:cstheme="minorHAnsi"/>
          <w:b/>
          <w:bCs/>
          <w:sz w:val="20"/>
          <w:szCs w:val="22"/>
        </w:rPr>
        <w:br/>
      </w:r>
      <w:r w:rsidRPr="005D1C9F">
        <w:rPr>
          <w:rFonts w:asciiTheme="minorHAnsi" w:hAnsiTheme="minorHAnsi" w:cstheme="minorHAnsi"/>
          <w:sz w:val="20"/>
          <w:szCs w:val="22"/>
        </w:rPr>
        <w:t>Wanneer ik een winactie houd, vermeld ik er altijd de voorwaarden bij. Hieraan dient te worden voldaan om kans te maken op de prijs. De winnaar wordt random gekozen en op de hoogte gebracht via een privébericht op het desbetreffende kanaal. Wordt er niet binnen 24 uur gereageerd, dan wordt er een nieuwe winnaar gekozen.</w:t>
      </w:r>
    </w:p>
    <w:p w:rsidR="00BC7391" w:rsidRDefault="005D1C9F" w:rsidP="00BC7391">
      <w:pPr>
        <w:pStyle w:val="Geenafstand"/>
      </w:pPr>
      <w:r w:rsidRPr="005D1C9F">
        <w:rPr>
          <w:rStyle w:val="Zwaar"/>
          <w:rFonts w:cstheme="minorHAnsi"/>
          <w:sz w:val="20"/>
        </w:rPr>
        <w:t>Artikel 14. Samenwerkingen met The Green Guide </w:t>
      </w:r>
      <w:r w:rsidRPr="005D1C9F">
        <w:rPr>
          <w:rFonts w:cstheme="minorHAnsi"/>
          <w:sz w:val="20"/>
        </w:rPr>
        <w:br/>
      </w:r>
      <w:r w:rsidR="00BC7391" w:rsidRPr="00BC7391">
        <w:rPr>
          <w:sz w:val="20"/>
        </w:rPr>
        <w:t xml:space="preserve">14.1 </w:t>
      </w:r>
      <w:r w:rsidR="00BC7391" w:rsidRPr="00BC7391">
        <w:rPr>
          <w:sz w:val="20"/>
          <w:u w:val="single"/>
        </w:rPr>
        <w:t>Overeenkomst</w:t>
      </w:r>
      <w:r w:rsidR="00BC7391" w:rsidRPr="00BC7391">
        <w:rPr>
          <w:b/>
          <w:bCs/>
          <w:sz w:val="20"/>
        </w:rPr>
        <w:t xml:space="preserve">: </w:t>
      </w:r>
      <w:r w:rsidR="00BC7391" w:rsidRPr="00BC7391">
        <w:rPr>
          <w:sz w:val="20"/>
        </w:rPr>
        <w:t xml:space="preserve">wil je als merk/bedrijf samenwerken met The Green Guide? Indien ik een match zie, worden de voorwaarden overeengekomen per mail. </w:t>
      </w:r>
      <w:r w:rsidR="00BC7391" w:rsidRPr="00BC7391">
        <w:rPr>
          <w:sz w:val="20"/>
        </w:rPr>
        <w:br/>
        <w:t xml:space="preserve">14.2 </w:t>
      </w:r>
      <w:r w:rsidR="00BC7391" w:rsidRPr="00BC7391">
        <w:rPr>
          <w:sz w:val="20"/>
          <w:u w:val="single"/>
        </w:rPr>
        <w:t>Vermelding</w:t>
      </w:r>
      <w:r w:rsidR="00BC7391" w:rsidRPr="00BC7391">
        <w:rPr>
          <w:sz w:val="20"/>
        </w:rPr>
        <w:t xml:space="preserve">: ik vermeld altijd dat het een samenwerking betreft, of het nu gaat om een social media post, affiliate of artikel (volgens de </w:t>
      </w:r>
      <w:hyperlink r:id="rId17" w:tgtFrame="_blank" w:history="1">
        <w:r w:rsidR="00BC7391" w:rsidRPr="00BC7391">
          <w:rPr>
            <w:rStyle w:val="Hyperlink"/>
            <w:sz w:val="20"/>
          </w:rPr>
          <w:t>Reclamecode Social Media</w:t>
        </w:r>
      </w:hyperlink>
      <w:r w:rsidR="00BC7391" w:rsidRPr="00BC7391">
        <w:rPr>
          <w:sz w:val="20"/>
        </w:rPr>
        <w:t>).</w:t>
      </w:r>
      <w:r w:rsidR="00BC7391" w:rsidRPr="00BC7391">
        <w:rPr>
          <w:sz w:val="20"/>
        </w:rPr>
        <w:br/>
        <w:t xml:space="preserve">14.3 </w:t>
      </w:r>
      <w:r w:rsidR="00BC7391" w:rsidRPr="00BC7391">
        <w:rPr>
          <w:sz w:val="20"/>
          <w:u w:val="single"/>
        </w:rPr>
        <w:t>Beeldmateriaal</w:t>
      </w:r>
      <w:r w:rsidR="00BC7391" w:rsidRPr="00BC7391">
        <w:rPr>
          <w:sz w:val="20"/>
        </w:rPr>
        <w:t xml:space="preserve">: de foto's die ik maak voor de samenwerking, mogen gebruikt worden mét vermelding. </w:t>
      </w:r>
      <w:r w:rsidR="00BC7391" w:rsidRPr="00BC7391">
        <w:rPr>
          <w:sz w:val="20"/>
        </w:rPr>
        <w:br/>
        <w:t xml:space="preserve">14.4 </w:t>
      </w:r>
      <w:r w:rsidR="00BC7391" w:rsidRPr="00BC7391">
        <w:rPr>
          <w:sz w:val="20"/>
          <w:u w:val="single"/>
        </w:rPr>
        <w:t>Aanpassing of verwijdering</w:t>
      </w:r>
      <w:r w:rsidR="00BC7391" w:rsidRPr="00BC7391">
        <w:rPr>
          <w:sz w:val="20"/>
        </w:rPr>
        <w:t>: de samenwerking geldt zolang de social media post of het artikel blijft bestaan (indien er bijvoorbeeld geen verkeer meer komt naar het artikel, kan de post verwijderd worden, er vindt dan géén terugbetaling plaats). Ook kan de post worden aangepast indien dit nodig is (wanneer de informatie bijvoorbeeld verouderd is of het artikel vanwege SEO redenen een update nodig heeft).</w:t>
      </w:r>
    </w:p>
    <w:p w:rsidR="00156163" w:rsidRPr="00BC7391" w:rsidRDefault="005D1C9F" w:rsidP="00BC7391">
      <w:pPr>
        <w:pStyle w:val="Normaalweb"/>
        <w:rPr>
          <w:rFonts w:asciiTheme="minorHAnsi" w:hAnsiTheme="minorHAnsi" w:cstheme="minorHAnsi"/>
          <w:b/>
          <w:bCs/>
          <w:sz w:val="20"/>
        </w:rPr>
      </w:pPr>
      <w:r w:rsidRPr="00BC7391">
        <w:rPr>
          <w:rStyle w:val="Nadruk"/>
          <w:rFonts w:asciiTheme="minorHAnsi" w:hAnsiTheme="minorHAnsi" w:cstheme="minorHAnsi"/>
          <w:sz w:val="20"/>
        </w:rPr>
        <w:t xml:space="preserve">Heb je nog vragen? Neem dan gerust </w:t>
      </w:r>
      <w:hyperlink r:id="rId18" w:history="1">
        <w:r w:rsidRPr="00BC7391">
          <w:rPr>
            <w:rStyle w:val="Hyperlink"/>
            <w:rFonts w:asciiTheme="minorHAnsi" w:hAnsiTheme="minorHAnsi" w:cstheme="minorHAnsi"/>
            <w:i/>
            <w:iCs/>
            <w:sz w:val="20"/>
          </w:rPr>
          <w:t>contact</w:t>
        </w:r>
      </w:hyperlink>
      <w:r w:rsidRPr="00BC7391">
        <w:rPr>
          <w:rStyle w:val="Nadruk"/>
          <w:rFonts w:asciiTheme="minorHAnsi" w:hAnsiTheme="minorHAnsi" w:cstheme="minorHAnsi"/>
          <w:sz w:val="20"/>
        </w:rPr>
        <w:t xml:space="preserve"> op! V</w:t>
      </w:r>
      <w:r w:rsidR="00660355">
        <w:rPr>
          <w:rFonts w:asciiTheme="minorHAnsi" w:hAnsiTheme="minorHAnsi" w:cstheme="minorHAnsi"/>
          <w:i/>
          <w:iCs/>
          <w:sz w:val="20"/>
        </w:rPr>
        <w:t>oor het laatst bijgewerkt op 23-7-2024</w:t>
      </w:r>
      <w:r w:rsidRPr="00BC7391">
        <w:rPr>
          <w:rFonts w:asciiTheme="minorHAnsi" w:hAnsiTheme="minorHAnsi" w:cstheme="minorHAnsi"/>
          <w:i/>
          <w:iCs/>
          <w:sz w:val="20"/>
        </w:rPr>
        <w:t>.</w:t>
      </w:r>
    </w:p>
    <w:sectPr w:rsidR="00156163" w:rsidRPr="00BC7391" w:rsidSect="00CE53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FD0" w:rsidRDefault="00074FD0" w:rsidP="00156163">
      <w:pPr>
        <w:spacing w:after="0" w:line="240" w:lineRule="auto"/>
      </w:pPr>
      <w:r>
        <w:separator/>
      </w:r>
    </w:p>
  </w:endnote>
  <w:endnote w:type="continuationSeparator" w:id="1">
    <w:p w:rsidR="00074FD0" w:rsidRDefault="00074FD0" w:rsidP="00156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FD0" w:rsidRDefault="00074FD0" w:rsidP="00156163">
      <w:pPr>
        <w:spacing w:after="0" w:line="240" w:lineRule="auto"/>
      </w:pPr>
      <w:r>
        <w:separator/>
      </w:r>
    </w:p>
  </w:footnote>
  <w:footnote w:type="continuationSeparator" w:id="1">
    <w:p w:rsidR="00074FD0" w:rsidRDefault="00074FD0" w:rsidP="001561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6163"/>
    <w:rsid w:val="00045976"/>
    <w:rsid w:val="00074FD0"/>
    <w:rsid w:val="000D0FF5"/>
    <w:rsid w:val="00156163"/>
    <w:rsid w:val="00203F0F"/>
    <w:rsid w:val="002760D4"/>
    <w:rsid w:val="00395536"/>
    <w:rsid w:val="005D1C16"/>
    <w:rsid w:val="005D1C9F"/>
    <w:rsid w:val="00660355"/>
    <w:rsid w:val="00663390"/>
    <w:rsid w:val="006A3401"/>
    <w:rsid w:val="00A25313"/>
    <w:rsid w:val="00B778F7"/>
    <w:rsid w:val="00BC7391"/>
    <w:rsid w:val="00CE5333"/>
    <w:rsid w:val="00D7392D"/>
    <w:rsid w:val="00D972F7"/>
    <w:rsid w:val="00E80442"/>
    <w:rsid w:val="00EE46D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5333"/>
  </w:style>
  <w:style w:type="paragraph" w:styleId="Kop2">
    <w:name w:val="heading 2"/>
    <w:basedOn w:val="Standaard"/>
    <w:link w:val="Kop2Char"/>
    <w:uiPriority w:val="9"/>
    <w:qFormat/>
    <w:rsid w:val="0015616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5616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616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56163"/>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156163"/>
    <w:rPr>
      <w:b/>
      <w:bCs/>
    </w:rPr>
  </w:style>
  <w:style w:type="paragraph" w:styleId="Normaalweb">
    <w:name w:val="Normal (Web)"/>
    <w:basedOn w:val="Standaard"/>
    <w:uiPriority w:val="99"/>
    <w:unhideWhenUsed/>
    <w:rsid w:val="001561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56163"/>
    <w:rPr>
      <w:i/>
      <w:iCs/>
    </w:rPr>
  </w:style>
  <w:style w:type="character" w:styleId="Hyperlink">
    <w:name w:val="Hyperlink"/>
    <w:basedOn w:val="Standaardalinea-lettertype"/>
    <w:uiPriority w:val="99"/>
    <w:semiHidden/>
    <w:unhideWhenUsed/>
    <w:rsid w:val="00156163"/>
    <w:rPr>
      <w:color w:val="0000FF"/>
      <w:u w:val="single"/>
    </w:rPr>
  </w:style>
  <w:style w:type="paragraph" w:styleId="Ballontekst">
    <w:name w:val="Balloon Text"/>
    <w:basedOn w:val="Standaard"/>
    <w:link w:val="BallontekstChar"/>
    <w:uiPriority w:val="99"/>
    <w:semiHidden/>
    <w:unhideWhenUsed/>
    <w:rsid w:val="001561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6163"/>
    <w:rPr>
      <w:rFonts w:ascii="Tahoma" w:hAnsi="Tahoma" w:cs="Tahoma"/>
      <w:sz w:val="16"/>
      <w:szCs w:val="16"/>
    </w:rPr>
  </w:style>
  <w:style w:type="paragraph" w:styleId="Koptekst">
    <w:name w:val="header"/>
    <w:basedOn w:val="Standaard"/>
    <w:link w:val="KoptekstChar"/>
    <w:uiPriority w:val="99"/>
    <w:semiHidden/>
    <w:unhideWhenUsed/>
    <w:rsid w:val="001561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56163"/>
  </w:style>
  <w:style w:type="paragraph" w:styleId="Voettekst">
    <w:name w:val="footer"/>
    <w:basedOn w:val="Standaard"/>
    <w:link w:val="VoettekstChar"/>
    <w:uiPriority w:val="99"/>
    <w:semiHidden/>
    <w:unhideWhenUsed/>
    <w:rsid w:val="001561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56163"/>
  </w:style>
  <w:style w:type="paragraph" w:styleId="Geenafstand">
    <w:name w:val="No Spacing"/>
    <w:uiPriority w:val="1"/>
    <w:qFormat/>
    <w:rsid w:val="00BC7391"/>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3235356">
      <w:bodyDiv w:val="1"/>
      <w:marLeft w:val="0"/>
      <w:marRight w:val="0"/>
      <w:marTop w:val="0"/>
      <w:marBottom w:val="0"/>
      <w:divBdr>
        <w:top w:val="none" w:sz="0" w:space="0" w:color="auto"/>
        <w:left w:val="none" w:sz="0" w:space="0" w:color="auto"/>
        <w:bottom w:val="none" w:sz="0" w:space="0" w:color="auto"/>
        <w:right w:val="none" w:sz="0" w:space="0" w:color="auto"/>
      </w:divBdr>
    </w:div>
    <w:div w:id="1475101897">
      <w:bodyDiv w:val="1"/>
      <w:marLeft w:val="0"/>
      <w:marRight w:val="0"/>
      <w:marTop w:val="0"/>
      <w:marBottom w:val="0"/>
      <w:divBdr>
        <w:top w:val="none" w:sz="0" w:space="0" w:color="auto"/>
        <w:left w:val="none" w:sz="0" w:space="0" w:color="auto"/>
        <w:bottom w:val="none" w:sz="0" w:space="0" w:color="auto"/>
        <w:right w:val="none" w:sz="0" w:space="0" w:color="auto"/>
      </w:divBdr>
    </w:div>
    <w:div w:id="16544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thegreenguide.nl/contact/" TargetMode="External"/><Relationship Id="rId3" Type="http://schemas.openxmlformats.org/officeDocument/2006/relationships/webSettings" Target="webSettings.xml"/><Relationship Id="rId7" Type="http://schemas.openxmlformats.org/officeDocument/2006/relationships/hyperlink" Target="http://www.zorgvoorzzp.nl/klachtenprocedure" TargetMode="External"/><Relationship Id="rId12" Type="http://schemas.openxmlformats.org/officeDocument/2006/relationships/image" Target="media/image6.png"/><Relationship Id="rId17" Type="http://schemas.openxmlformats.org/officeDocument/2006/relationships/hyperlink" Target="https://www.reclamecode.nl/socialuitleg/" TargetMode="Externa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2095</Words>
  <Characters>11528</Characters>
  <Application>Microsoft Office Word</Application>
  <DocSecurity>0</DocSecurity>
  <Lines>96</Lines>
  <Paragraphs>27</Paragraphs>
  <ScaleCrop>false</ScaleCrop>
  <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Mariëlle Markgraaff</dc:creator>
  <cp:lastModifiedBy>Mariëlle M</cp:lastModifiedBy>
  <cp:revision>8</cp:revision>
  <cp:lastPrinted>2023-12-13T17:23:00Z</cp:lastPrinted>
  <dcterms:created xsi:type="dcterms:W3CDTF">2023-12-13T11:35:00Z</dcterms:created>
  <dcterms:modified xsi:type="dcterms:W3CDTF">2024-07-23T14:12:00Z</dcterms:modified>
</cp:coreProperties>
</file>